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ED" w:rsidRDefault="004774ED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  <w:bookmarkStart w:id="0" w:name="_Hlk87627937"/>
      <w:bookmarkStart w:id="1" w:name="_GoBack"/>
      <w:bookmarkEnd w:id="1"/>
    </w:p>
    <w:p w:rsidR="004774ED" w:rsidRDefault="004774ED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</w:p>
    <w:p w:rsidR="004774ED" w:rsidRDefault="006B3D28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3277579" wp14:editId="3BD25FF3">
            <wp:simplePos x="0" y="0"/>
            <wp:positionH relativeFrom="column">
              <wp:posOffset>2844165</wp:posOffset>
            </wp:positionH>
            <wp:positionV relativeFrom="paragraph">
              <wp:posOffset>-659765</wp:posOffset>
            </wp:positionV>
            <wp:extent cx="431800" cy="612140"/>
            <wp:effectExtent l="0" t="0" r="6350" b="0"/>
            <wp:wrapNone/>
            <wp:docPr id="127" name="Рисунок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Рисунок 127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Х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ОРОЛЬСЬКА МІСЬКА РАДА</w:t>
      </w:r>
    </w:p>
    <w:p w:rsidR="004774ED" w:rsidRDefault="006B3D28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Л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УБЕНСЬКОГО РАЙОНУ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 xml:space="preserve"> П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ОЛТАВСЬКОЇ ОБЛАСТІ</w:t>
      </w:r>
    </w:p>
    <w:p w:rsidR="004774ED" w:rsidRDefault="006B3D28">
      <w:pPr>
        <w:spacing w:before="60" w:after="0" w:line="240" w:lineRule="auto"/>
        <w:jc w:val="center"/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eastAsia="ru-RU"/>
        </w:rPr>
        <w:t xml:space="preserve">ВІДДІЛ КУЛЬТУРИ, ТУРИЗМУ ТА ОХОРОНИ </w:t>
      </w:r>
    </w:p>
    <w:p w:rsidR="004774ED" w:rsidRDefault="006B3D28">
      <w:pPr>
        <w:spacing w:before="60" w:after="0" w:line="240" w:lineRule="auto"/>
        <w:jc w:val="center"/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eastAsia="ru-RU"/>
        </w:rPr>
        <w:t>КУЛЬТУРНОЇ СПАДЩИНИ</w:t>
      </w:r>
    </w:p>
    <w:p w:rsidR="004774ED" w:rsidRDefault="006B3D28">
      <w:pPr>
        <w:spacing w:after="0"/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</w:rPr>
        <w:t>вул</w:t>
      </w:r>
      <w:proofErr w:type="spellEnd"/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Незалежності</w:t>
      </w:r>
      <w:r>
        <w:rPr>
          <w:rFonts w:ascii="Times New Roman" w:hAnsi="Times New Roman"/>
          <w:b/>
          <w:lang w:val="uk-UA"/>
        </w:rPr>
        <w:t xml:space="preserve">, </w:t>
      </w:r>
      <w:r>
        <w:rPr>
          <w:rFonts w:ascii="Times New Roman" w:hAnsi="Times New Roman"/>
          <w:b/>
          <w:lang w:val="uk-UA"/>
        </w:rPr>
        <w:t>61</w:t>
      </w:r>
      <w:r>
        <w:rPr>
          <w:rFonts w:ascii="Times New Roman" w:hAnsi="Times New Roman"/>
          <w:b/>
        </w:rPr>
        <w:t xml:space="preserve">,  м. Хорол, </w:t>
      </w:r>
      <w:r>
        <w:rPr>
          <w:rFonts w:ascii="Times New Roman" w:hAnsi="Times New Roman"/>
          <w:b/>
          <w:lang w:val="uk-UA"/>
        </w:rPr>
        <w:t xml:space="preserve">Лубенський р-н, </w:t>
      </w:r>
      <w:proofErr w:type="spellStart"/>
      <w:r>
        <w:rPr>
          <w:rFonts w:ascii="Times New Roman" w:hAnsi="Times New Roman"/>
          <w:b/>
        </w:rPr>
        <w:t>Полтавська</w:t>
      </w:r>
      <w:proofErr w:type="spellEnd"/>
      <w:r>
        <w:rPr>
          <w:rFonts w:ascii="Times New Roman" w:hAnsi="Times New Roman"/>
          <w:b/>
        </w:rPr>
        <w:t xml:space="preserve"> обл., 37800, тел (05362) 3</w:t>
      </w:r>
      <w:r>
        <w:rPr>
          <w:rFonts w:ascii="Times New Roman" w:hAnsi="Times New Roman"/>
          <w:b/>
          <w:lang w:val="uk-UA"/>
        </w:rPr>
        <w:t>2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uk-UA"/>
        </w:rPr>
        <w:t>6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uk-UA"/>
        </w:rPr>
        <w:t>13</w:t>
      </w:r>
    </w:p>
    <w:p w:rsidR="004774ED" w:rsidRDefault="006B3D28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en-US"/>
        </w:rPr>
        <w:t xml:space="preserve">E-mail: </w:t>
      </w:r>
      <w:hyperlink r:id="rId8" w:history="1">
        <w:r>
          <w:rPr>
            <w:rStyle w:val="a3"/>
            <w:rFonts w:ascii="Times New Roman" w:hAnsi="Times New Roman"/>
            <w:b/>
            <w:lang w:val="en-US"/>
          </w:rPr>
          <w:t>horolkultura@gmail.com</w:t>
        </w:r>
      </w:hyperlink>
      <w:r>
        <w:rPr>
          <w:rFonts w:ascii="Times New Roman" w:hAnsi="Times New Roman"/>
          <w:b/>
          <w:lang w:val="en-US"/>
        </w:rPr>
        <w:t xml:space="preserve">, </w:t>
      </w:r>
      <w:r>
        <w:rPr>
          <w:rFonts w:ascii="Times New Roman" w:hAnsi="Times New Roman"/>
          <w:b/>
        </w:rPr>
        <w:t>Код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ЄДРПОУ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  <w:lang w:val="uk-UA"/>
        </w:rPr>
        <w:t>44060121</w:t>
      </w:r>
    </w:p>
    <w:p w:rsidR="004774ED" w:rsidRDefault="004774ED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4774ED" w:rsidRPr="00B45711" w:rsidRDefault="006B3D28" w:rsidP="00B45711">
      <w:pPr>
        <w:tabs>
          <w:tab w:val="left" w:pos="851"/>
          <w:tab w:val="left" w:pos="4111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45711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виконання Комплексної програми підтримки військовослужбовців, що брали(беруть) участь у захисті </w:t>
      </w:r>
      <w:r w:rsidRPr="00B45711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безпеки населення та інтересів держави у зв’язку з військовою агресією Російської Федерації проти України</w:t>
      </w:r>
      <w:r w:rsidRPr="00B45711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Pr="00B45711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</w:t>
      </w:r>
      <w:r w:rsidRPr="00B45711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) Захисників і Захисниць України </w:t>
      </w:r>
      <w:r w:rsidRPr="00B45711">
        <w:rPr>
          <w:rFonts w:ascii="Times New Roman" w:hAnsi="Times New Roman"/>
          <w:b/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  <w:bookmarkEnd w:id="0"/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 культури, туризму та охорони культурної спадщини Хорольської міської ради Лубенського району Полтавської області надає інформацію про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 пунктів Комплексної програми, прийнятої </w:t>
      </w:r>
      <w:r>
        <w:rPr>
          <w:rFonts w:ascii="Times New Roman" w:eastAsia="SimSu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шістдесят четвертою сесію Хорольської міської ради Лубенського району Полтавської області восьмого скликання від 20.12.2024 №3029. Інформація надається станом на  </w:t>
      </w:r>
      <w:r>
        <w:rPr>
          <w:rFonts w:ascii="Times New Roman" w:hAnsi="Times New Roman"/>
          <w:sz w:val="28"/>
          <w:szCs w:val="28"/>
          <w:lang w:val="uk-UA"/>
        </w:rPr>
        <w:t>станом на 01.11.2025 року.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П. 3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.9</w:t>
      </w:r>
      <w:r>
        <w:rPr>
          <w:rFonts w:ascii="Times New Roman" w:hAnsi="Times New Roman"/>
          <w:sz w:val="28"/>
          <w:szCs w:val="28"/>
          <w:lang w:val="uk-UA"/>
        </w:rPr>
        <w:t xml:space="preserve"> Про встановлення меморіальних дошок, повідомляємо, що в 2025 році було виготовлено і встановлено 18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меморільних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дошок на загальну суму 302 000,0 тис. грн.   В 2025 році Алеї Героїв було встановлено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Нвачиха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 Андріївському, Новоаврамівському, Вишня</w:t>
      </w:r>
      <w:r>
        <w:rPr>
          <w:rFonts w:ascii="Times New Roman" w:hAnsi="Times New Roman"/>
          <w:sz w:val="28"/>
          <w:szCs w:val="28"/>
          <w:lang w:val="uk-UA"/>
        </w:rPr>
        <w:t xml:space="preserve">ківському,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Староаврамівському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Ялосовецькому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старостатах. Також у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Штомпелівка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Петракіївка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Вишневе було відкрито кілька меморіальних дошок у Алеях Героїв відкритих у 2024 році. 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Алеї Героїв міста Хорол в 2025 році були виділені кошти на виготов</w:t>
      </w:r>
      <w:r>
        <w:rPr>
          <w:rFonts w:ascii="Times New Roman" w:hAnsi="Times New Roman"/>
          <w:sz w:val="28"/>
          <w:szCs w:val="28"/>
          <w:lang w:val="uk-UA"/>
        </w:rPr>
        <w:t>лення 10 металевих конструкцій на загальну суму 46 260,0 грн. та виготовлено 30 інформаційних банерів зі світлинами полеглих захисників на загальну суму 33 734,40 грн. Для Галереї Героїв, що знаходиться в центрі міста, виділено 8 000, 0 грн    для виготовл</w:t>
      </w:r>
      <w:r>
        <w:rPr>
          <w:rFonts w:ascii="Times New Roman" w:hAnsi="Times New Roman"/>
          <w:sz w:val="28"/>
          <w:szCs w:val="28"/>
          <w:lang w:val="uk-UA"/>
        </w:rPr>
        <w:t xml:space="preserve">ення 1 металевого куба зі світлинами. Також виділено кошти у сумі 4 800 на цементно-піщану суміш для встановлення та укріплення металевих конструкцій. Для виготовлення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флагштоків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під прапори для Алеї у селі Староаврамівка було придбано металеві тримачі на </w:t>
      </w:r>
      <w:r>
        <w:rPr>
          <w:rFonts w:ascii="Times New Roman" w:hAnsi="Times New Roman"/>
          <w:sz w:val="28"/>
          <w:szCs w:val="28"/>
          <w:lang w:val="uk-UA"/>
        </w:rPr>
        <w:t xml:space="preserve">загальну суму 3800,0 грн. Також для встановлення на Алеях Героїв, та місцях поховань придбано 454 прапори.  Для встановлення символіки (тризуба та герба України) на Алеях героїв у  с. Вишняки та Галереї Героїв міста Хорол виділено 18 000,0 тис. грн.  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Зага</w:t>
      </w:r>
      <w:r>
        <w:rPr>
          <w:rFonts w:ascii="Times New Roman" w:hAnsi="Times New Roman"/>
          <w:sz w:val="28"/>
          <w:szCs w:val="28"/>
          <w:lang w:val="uk-UA"/>
        </w:rPr>
        <w:t xml:space="preserve">льна сума, виділених в 2025 році коштів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увіковічнення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пам’яті полеглих героїв складає 416 594, 40 грн.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П. 6.1 про безкоштовне навчання дітей військових, повідомляємо, що в Хорольській музичній школі навчається 80 дітей пільгових категорій (ВП</w:t>
      </w:r>
      <w:r>
        <w:rPr>
          <w:rFonts w:ascii="Times New Roman" w:hAnsi="Times New Roman"/>
          <w:sz w:val="28"/>
          <w:szCs w:val="28"/>
          <w:lang w:val="uk-UA"/>
        </w:rPr>
        <w:t xml:space="preserve">О, діти-сироти, діти з інвалідністю), із них дітей полеглих захисників - 0 , дітей військових - 23, діти воїнів, що пропали безвісті - 2.  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 6.2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підтримки родин військових, проведення національно-патріотичних заходів, впродовж 2025 року</w:t>
      </w:r>
      <w:r>
        <w:rPr>
          <w:rFonts w:ascii="Times New Roman" w:hAnsi="Times New Roman"/>
          <w:sz w:val="28"/>
          <w:szCs w:val="28"/>
          <w:lang w:val="uk-UA"/>
        </w:rPr>
        <w:t xml:space="preserve"> було проведено кілька значних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соціо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-культурних заходів. В рамках Національної програми “Пліч-о-пліч. Згуртовані громади” була проведена 10-денна культурно-просвітницька програма для дітей із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Великобурлуцької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громади Куп’янського району Харківської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2-денна програма перебування учасників жіночого ансамблю “Струмочок” Артемівського ЦКД Печенізької громади Харківської області. Загальні витрати на проведення заходів програми склади 87 096,0 грн. 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липні 2025 року на території громади відбувся Всеукраїнський фестиваль для Захисників Вітчизни і їхніх матерів “Мамина весна”, в якому прийняли участь 95 колективів та окремих виконавців із 5 областей України. Загальні витрати на проведення фестивалю скл</w:t>
      </w:r>
      <w:r>
        <w:rPr>
          <w:rFonts w:ascii="Times New Roman" w:hAnsi="Times New Roman"/>
          <w:sz w:val="28"/>
          <w:szCs w:val="28"/>
          <w:lang w:val="uk-UA"/>
        </w:rPr>
        <w:t xml:space="preserve">али 50 000,0 грн. </w:t>
      </w:r>
    </w:p>
    <w:p w:rsidR="004774ED" w:rsidRDefault="006B3D28" w:rsidP="00B45711">
      <w:pPr>
        <w:ind w:left="10" w:firstLineChars="232" w:firstLine="6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нагоди Дня пам’яті захисників, які віддали своє життя за територіальну цілісність та незалежність України було проведено 30 меморіальних заходів в усіх закладах культури клубного типу. З нагоди Дня Захисників і Захисниць України було п</w:t>
      </w:r>
      <w:r>
        <w:rPr>
          <w:rFonts w:ascii="Times New Roman" w:hAnsi="Times New Roman"/>
          <w:sz w:val="28"/>
          <w:szCs w:val="28"/>
          <w:lang w:val="uk-UA"/>
        </w:rPr>
        <w:t>роведено 54 заходи вшанування в бібліотечних, клубних та музейних закладах. Загальна кількість національно-патріотичних заходів, проведених в Хорольській міській територіальній громаді впродовж 2025 року складає - 180.  Ці заходи не потребували фінансуванн</w:t>
      </w:r>
      <w:r>
        <w:rPr>
          <w:rFonts w:ascii="Times New Roman" w:hAnsi="Times New Roman"/>
          <w:sz w:val="28"/>
          <w:szCs w:val="28"/>
          <w:lang w:val="uk-UA"/>
        </w:rPr>
        <w:t xml:space="preserve">я. </w:t>
      </w:r>
    </w:p>
    <w:p w:rsidR="004774ED" w:rsidRDefault="006B3D2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П. 6.4</w:t>
      </w:r>
      <w:r>
        <w:rPr>
          <w:rFonts w:ascii="Times New Roman" w:hAnsi="Times New Roman"/>
          <w:sz w:val="28"/>
          <w:szCs w:val="28"/>
          <w:lang w:val="uk-UA"/>
        </w:rPr>
        <w:t xml:space="preserve"> в Хорольському краєзнавчо</w:t>
      </w:r>
      <w:r w:rsidR="00B45711">
        <w:rPr>
          <w:rFonts w:ascii="Times New Roman" w:hAnsi="Times New Roman"/>
          <w:sz w:val="28"/>
          <w:szCs w:val="28"/>
          <w:lang w:val="uk-UA"/>
        </w:rPr>
        <w:t>му музеї діє постійна виставка «</w:t>
      </w:r>
      <w:r>
        <w:rPr>
          <w:rFonts w:ascii="Times New Roman" w:hAnsi="Times New Roman"/>
          <w:sz w:val="28"/>
          <w:szCs w:val="28"/>
          <w:lang w:val="uk-UA"/>
        </w:rPr>
        <w:t>Герої російсько-української війни</w:t>
      </w:r>
      <w:r w:rsidR="00067C5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774ED" w:rsidRDefault="004774E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74ED" w:rsidRDefault="006B3D28" w:rsidP="00B45711">
      <w:pPr>
        <w:spacing w:line="240" w:lineRule="auto"/>
        <w:ind w:firstLineChars="250" w:firstLine="7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                                                        </w:t>
      </w:r>
      <w:r w:rsidR="00C209F6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Оксана ЛЕВІНА</w:t>
      </w:r>
    </w:p>
    <w:sectPr w:rsidR="004774ED" w:rsidSect="00A96B85">
      <w:headerReference w:type="default" r:id="rId9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28" w:rsidRDefault="006B3D28">
      <w:pPr>
        <w:spacing w:line="240" w:lineRule="auto"/>
      </w:pPr>
      <w:r>
        <w:separator/>
      </w:r>
    </w:p>
  </w:endnote>
  <w:endnote w:type="continuationSeparator" w:id="0">
    <w:p w:rsidR="006B3D28" w:rsidRDefault="006B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28" w:rsidRDefault="006B3D28">
      <w:pPr>
        <w:spacing w:after="0"/>
      </w:pPr>
      <w:r>
        <w:separator/>
      </w:r>
    </w:p>
  </w:footnote>
  <w:footnote w:type="continuationSeparator" w:id="0">
    <w:p w:rsidR="006B3D28" w:rsidRDefault="006B3D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1839787"/>
      <w:docPartObj>
        <w:docPartGallery w:val="Page Numbers (Top of Page)"/>
        <w:docPartUnique/>
      </w:docPartObj>
    </w:sdtPr>
    <w:sdtContent>
      <w:p w:rsidR="00B45711" w:rsidRDefault="00B457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B85">
          <w:rPr>
            <w:noProof/>
          </w:rPr>
          <w:t>2</w:t>
        </w:r>
        <w:r>
          <w:fldChar w:fldCharType="end"/>
        </w:r>
      </w:p>
    </w:sdtContent>
  </w:sdt>
  <w:p w:rsidR="00B45711" w:rsidRDefault="00B457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D2"/>
    <w:rsid w:val="00067C58"/>
    <w:rsid w:val="00081C2B"/>
    <w:rsid w:val="001E3DFC"/>
    <w:rsid w:val="002058B2"/>
    <w:rsid w:val="00223973"/>
    <w:rsid w:val="002D46D2"/>
    <w:rsid w:val="002D4A03"/>
    <w:rsid w:val="004648ED"/>
    <w:rsid w:val="004774ED"/>
    <w:rsid w:val="005B5FDD"/>
    <w:rsid w:val="00616A7A"/>
    <w:rsid w:val="00666308"/>
    <w:rsid w:val="006B3D28"/>
    <w:rsid w:val="00756053"/>
    <w:rsid w:val="00762C23"/>
    <w:rsid w:val="00814567"/>
    <w:rsid w:val="00882656"/>
    <w:rsid w:val="00920EB9"/>
    <w:rsid w:val="00936873"/>
    <w:rsid w:val="00982F73"/>
    <w:rsid w:val="00993A12"/>
    <w:rsid w:val="009A590D"/>
    <w:rsid w:val="00A276F4"/>
    <w:rsid w:val="00A96B85"/>
    <w:rsid w:val="00B14EA3"/>
    <w:rsid w:val="00B45711"/>
    <w:rsid w:val="00BC0933"/>
    <w:rsid w:val="00C209F6"/>
    <w:rsid w:val="00E802B4"/>
    <w:rsid w:val="00EA6457"/>
    <w:rsid w:val="00F36D5C"/>
    <w:rsid w:val="00FB4B94"/>
    <w:rsid w:val="04BB512B"/>
    <w:rsid w:val="04E40AD1"/>
    <w:rsid w:val="0E796596"/>
    <w:rsid w:val="188A6953"/>
    <w:rsid w:val="1D286BDD"/>
    <w:rsid w:val="1D5A0D00"/>
    <w:rsid w:val="2EB54169"/>
    <w:rsid w:val="33A31D51"/>
    <w:rsid w:val="3A5B3385"/>
    <w:rsid w:val="433F224B"/>
    <w:rsid w:val="44662602"/>
    <w:rsid w:val="54EB1973"/>
    <w:rsid w:val="59635C19"/>
    <w:rsid w:val="5C554E98"/>
    <w:rsid w:val="5DC01E55"/>
    <w:rsid w:val="61160A7C"/>
    <w:rsid w:val="625D2761"/>
    <w:rsid w:val="648101E9"/>
    <w:rsid w:val="64F57AE4"/>
    <w:rsid w:val="6A2A4AAF"/>
    <w:rsid w:val="6DFF6951"/>
    <w:rsid w:val="709B2CBB"/>
    <w:rsid w:val="73281A52"/>
    <w:rsid w:val="74F21B83"/>
    <w:rsid w:val="761267E1"/>
    <w:rsid w:val="7D64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4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5711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B4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5711"/>
    <w:rPr>
      <w:rFonts w:ascii="Calibri" w:eastAsia="Calibri" w:hAnsi="Calibri" w:cs="Times New Roman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4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5711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B4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5711"/>
    <w:rPr>
      <w:rFonts w:ascii="Calibri" w:eastAsia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orolkultur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2741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</cp:revision>
  <cp:lastPrinted>2025-01-24T10:28:00Z</cp:lastPrinted>
  <dcterms:created xsi:type="dcterms:W3CDTF">2023-01-25T09:43:00Z</dcterms:created>
  <dcterms:modified xsi:type="dcterms:W3CDTF">2025-11-03T14:23:00Z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BA1CF4F573E7490DA6B7A495189BB3BC_13</vt:lpwstr>
  </property>
</Properties>
</file>